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8166" w14:textId="77777777" w:rsidR="000149FC" w:rsidRPr="00B178C1" w:rsidRDefault="00B178C1">
      <w:pPr>
        <w:pStyle w:val="1"/>
        <w:spacing w:line="259" w:lineRule="auto"/>
        <w:ind w:left="106" w:right="117"/>
        <w:jc w:val="center"/>
        <w:rPr>
          <w:b w:val="0"/>
          <w:bCs w:val="0"/>
          <w:lang w:val="ru-RU"/>
        </w:rPr>
      </w:pPr>
      <w:r w:rsidRPr="00B178C1">
        <w:rPr>
          <w:spacing w:val="-1"/>
          <w:lang w:val="ru-RU"/>
        </w:rPr>
        <w:t>Информация</w:t>
      </w:r>
      <w:r w:rsidRPr="00B178C1">
        <w:rPr>
          <w:lang w:val="ru-RU"/>
        </w:rPr>
        <w:t xml:space="preserve"> о</w:t>
      </w:r>
      <w:r w:rsidRPr="00B178C1">
        <w:rPr>
          <w:spacing w:val="-1"/>
          <w:lang w:val="ru-RU"/>
        </w:rPr>
        <w:t xml:space="preserve"> порядке</w:t>
      </w:r>
      <w:r w:rsidRPr="00B178C1">
        <w:rPr>
          <w:spacing w:val="-5"/>
          <w:lang w:val="ru-RU"/>
        </w:rPr>
        <w:t xml:space="preserve"> </w:t>
      </w:r>
      <w:r w:rsidRPr="00B178C1">
        <w:rPr>
          <w:lang w:val="ru-RU"/>
        </w:rPr>
        <w:t xml:space="preserve">и </w:t>
      </w:r>
      <w:r w:rsidRPr="00B178C1">
        <w:rPr>
          <w:spacing w:val="-1"/>
          <w:lang w:val="ru-RU"/>
        </w:rPr>
        <w:t>условиях обмена</w:t>
      </w:r>
      <w:r w:rsidRPr="00B178C1">
        <w:rPr>
          <w:spacing w:val="-2"/>
          <w:lang w:val="ru-RU"/>
        </w:rPr>
        <w:t xml:space="preserve"> </w:t>
      </w:r>
      <w:r w:rsidRPr="00B178C1">
        <w:rPr>
          <w:spacing w:val="-1"/>
          <w:lang w:val="ru-RU"/>
        </w:rPr>
        <w:t>электронными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документами</w:t>
      </w:r>
      <w:r w:rsidRPr="00B178C1">
        <w:rPr>
          <w:spacing w:val="-3"/>
          <w:lang w:val="ru-RU"/>
        </w:rPr>
        <w:t xml:space="preserve"> </w:t>
      </w:r>
      <w:r w:rsidRPr="00B178C1">
        <w:rPr>
          <w:lang w:val="ru-RU"/>
        </w:rPr>
        <w:t>Общества с ограниченной ответственностью «Управляющая компания «Прогрессия»</w:t>
      </w:r>
      <w:r>
        <w:rPr>
          <w:lang w:val="ru-RU"/>
        </w:rPr>
        <w:t xml:space="preserve"> </w:t>
      </w:r>
      <w:r w:rsidRPr="00B178C1">
        <w:rPr>
          <w:spacing w:val="-1"/>
          <w:lang w:val="ru-RU"/>
        </w:rPr>
        <w:t>при</w:t>
      </w:r>
      <w:r w:rsidRPr="00B178C1">
        <w:rPr>
          <w:spacing w:val="43"/>
          <w:lang w:val="ru-RU"/>
        </w:rPr>
        <w:t xml:space="preserve"> </w:t>
      </w:r>
      <w:r w:rsidRPr="00B178C1">
        <w:rPr>
          <w:spacing w:val="-1"/>
          <w:lang w:val="ru-RU"/>
        </w:rPr>
        <w:t xml:space="preserve">взаимодействии </w:t>
      </w:r>
      <w:r w:rsidRPr="00B178C1">
        <w:rPr>
          <w:lang w:val="ru-RU"/>
        </w:rPr>
        <w:t xml:space="preserve">с </w:t>
      </w:r>
      <w:r w:rsidRPr="00B178C1">
        <w:rPr>
          <w:spacing w:val="-1"/>
          <w:lang w:val="ru-RU"/>
        </w:rPr>
        <w:t>профессиональными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участниками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рынка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ценных</w:t>
      </w:r>
      <w:r w:rsidRPr="00B178C1">
        <w:rPr>
          <w:lang w:val="ru-RU"/>
        </w:rPr>
        <w:t xml:space="preserve"> </w:t>
      </w:r>
      <w:r w:rsidRPr="00B178C1">
        <w:rPr>
          <w:spacing w:val="-2"/>
          <w:lang w:val="ru-RU"/>
        </w:rPr>
        <w:t>бумаг,</w:t>
      </w:r>
      <w:r w:rsidRPr="00B178C1">
        <w:rPr>
          <w:spacing w:val="-4"/>
          <w:lang w:val="ru-RU"/>
        </w:rPr>
        <w:t xml:space="preserve"> </w:t>
      </w:r>
      <w:r w:rsidRPr="00B178C1">
        <w:rPr>
          <w:spacing w:val="-1"/>
          <w:lang w:val="ru-RU"/>
        </w:rPr>
        <w:t>негосударственными</w:t>
      </w:r>
      <w:r w:rsidRPr="00B178C1">
        <w:rPr>
          <w:spacing w:val="47"/>
          <w:lang w:val="ru-RU"/>
        </w:rPr>
        <w:t xml:space="preserve"> </w:t>
      </w:r>
      <w:r w:rsidRPr="00B178C1">
        <w:rPr>
          <w:spacing w:val="-1"/>
          <w:lang w:val="ru-RU"/>
        </w:rPr>
        <w:t>пенсионными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фондами,</w:t>
      </w:r>
      <w:r w:rsidRPr="00B178C1">
        <w:rPr>
          <w:spacing w:val="-2"/>
          <w:lang w:val="ru-RU"/>
        </w:rPr>
        <w:t xml:space="preserve"> </w:t>
      </w:r>
      <w:r w:rsidRPr="00B178C1">
        <w:rPr>
          <w:spacing w:val="-1"/>
          <w:lang w:val="ru-RU"/>
        </w:rPr>
        <w:t>акционерными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инвестиционными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фондами,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управляющими</w:t>
      </w:r>
      <w:r w:rsidRPr="00B178C1">
        <w:rPr>
          <w:spacing w:val="33"/>
          <w:lang w:val="ru-RU"/>
        </w:rPr>
        <w:t xml:space="preserve"> </w:t>
      </w:r>
      <w:r w:rsidRPr="00B178C1">
        <w:rPr>
          <w:spacing w:val="-1"/>
          <w:lang w:val="ru-RU"/>
        </w:rPr>
        <w:t>компаниями</w:t>
      </w:r>
      <w:r w:rsidRPr="00B178C1">
        <w:rPr>
          <w:lang w:val="ru-RU"/>
        </w:rPr>
        <w:t xml:space="preserve"> и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специализированными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депозитариями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инвестиционных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фондов,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паевых</w:t>
      </w:r>
      <w:r w:rsidRPr="00B178C1">
        <w:rPr>
          <w:spacing w:val="35"/>
          <w:lang w:val="ru-RU"/>
        </w:rPr>
        <w:t xml:space="preserve"> </w:t>
      </w:r>
      <w:r w:rsidRPr="00B178C1">
        <w:rPr>
          <w:spacing w:val="-1"/>
          <w:lang w:val="ru-RU"/>
        </w:rPr>
        <w:t>инвестиционных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фондов,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негосударственных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пенсионных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фондов,</w:t>
      </w:r>
      <w:r w:rsidRPr="00B178C1">
        <w:rPr>
          <w:spacing w:val="-2"/>
          <w:lang w:val="ru-RU"/>
        </w:rPr>
        <w:t xml:space="preserve"> </w:t>
      </w:r>
      <w:r w:rsidRPr="00B178C1">
        <w:rPr>
          <w:lang w:val="ru-RU"/>
        </w:rPr>
        <w:t xml:space="preserve">а </w:t>
      </w:r>
      <w:r w:rsidRPr="00B178C1">
        <w:rPr>
          <w:spacing w:val="-1"/>
          <w:lang w:val="ru-RU"/>
        </w:rPr>
        <w:t xml:space="preserve">также </w:t>
      </w:r>
      <w:r w:rsidRPr="00B178C1">
        <w:rPr>
          <w:lang w:val="ru-RU"/>
        </w:rPr>
        <w:t>с</w:t>
      </w:r>
      <w:r w:rsidRPr="00B178C1">
        <w:rPr>
          <w:spacing w:val="-1"/>
          <w:lang w:val="ru-RU"/>
        </w:rPr>
        <w:t xml:space="preserve"> клиентами</w:t>
      </w:r>
    </w:p>
    <w:p w14:paraId="3C3ED51C" w14:textId="77777777" w:rsidR="000149FC" w:rsidRPr="00B178C1" w:rsidRDefault="00B178C1">
      <w:pPr>
        <w:spacing w:before="158" w:line="259" w:lineRule="auto"/>
        <w:ind w:left="102" w:right="141"/>
        <w:rPr>
          <w:rFonts w:ascii="Calibri" w:eastAsia="Calibri" w:hAnsi="Calibri" w:cs="Calibri"/>
          <w:lang w:val="ru-RU"/>
        </w:rPr>
      </w:pPr>
      <w:r w:rsidRPr="00B178C1">
        <w:rPr>
          <w:rFonts w:ascii="Calibri" w:eastAsia="Calibri" w:hAnsi="Calibri" w:cs="Calibri"/>
          <w:b/>
          <w:bCs/>
          <w:spacing w:val="-1"/>
          <w:lang w:val="ru-RU"/>
        </w:rPr>
        <w:t>Обществ</w:t>
      </w:r>
      <w:r>
        <w:rPr>
          <w:rFonts w:ascii="Calibri" w:eastAsia="Calibri" w:hAnsi="Calibri" w:cs="Calibri"/>
          <w:b/>
          <w:bCs/>
          <w:spacing w:val="-1"/>
          <w:lang w:val="ru-RU"/>
        </w:rPr>
        <w:t>о</w:t>
      </w:r>
      <w:r w:rsidRPr="00B178C1">
        <w:rPr>
          <w:rFonts w:ascii="Calibri" w:eastAsia="Calibri" w:hAnsi="Calibri" w:cs="Calibri"/>
          <w:b/>
          <w:bCs/>
          <w:spacing w:val="-1"/>
          <w:lang w:val="ru-RU"/>
        </w:rPr>
        <w:t xml:space="preserve"> с ограниченной ответственностью «Управляющая компания «Прогрессия» (далее</w:t>
      </w:r>
      <w:r w:rsidRPr="00B178C1">
        <w:rPr>
          <w:rFonts w:ascii="Calibri" w:eastAsia="Calibri" w:hAnsi="Calibri" w:cs="Calibri"/>
          <w:b/>
          <w:bCs/>
          <w:spacing w:val="4"/>
          <w:lang w:val="ru-RU"/>
        </w:rPr>
        <w:t xml:space="preserve"> </w:t>
      </w:r>
      <w:r w:rsidRPr="00B178C1">
        <w:rPr>
          <w:rFonts w:ascii="Calibri" w:eastAsia="Calibri" w:hAnsi="Calibri" w:cs="Calibri"/>
          <w:b/>
          <w:bCs/>
          <w:lang w:val="ru-RU"/>
        </w:rPr>
        <w:t>–</w:t>
      </w:r>
      <w:r w:rsidRPr="00B178C1">
        <w:rPr>
          <w:rFonts w:ascii="Calibri" w:eastAsia="Calibri" w:hAnsi="Calibri" w:cs="Calibri"/>
          <w:b/>
          <w:bCs/>
          <w:spacing w:val="1"/>
          <w:lang w:val="ru-RU"/>
        </w:rPr>
        <w:t xml:space="preserve"> </w:t>
      </w:r>
      <w:r w:rsidRPr="00B178C1">
        <w:rPr>
          <w:rFonts w:ascii="Calibri" w:eastAsia="Calibri" w:hAnsi="Calibri" w:cs="Calibri"/>
          <w:b/>
          <w:bCs/>
          <w:spacing w:val="-2"/>
          <w:lang w:val="ru-RU"/>
        </w:rPr>
        <w:t>Общество)</w:t>
      </w:r>
      <w:r w:rsidRPr="00B178C1">
        <w:rPr>
          <w:rFonts w:ascii="Calibri" w:eastAsia="Calibri" w:hAnsi="Calibri" w:cs="Calibri"/>
          <w:b/>
          <w:bCs/>
          <w:lang w:val="ru-RU"/>
        </w:rPr>
        <w:t xml:space="preserve"> </w:t>
      </w:r>
      <w:r w:rsidRPr="00B178C1">
        <w:rPr>
          <w:rFonts w:ascii="Calibri" w:eastAsia="Calibri" w:hAnsi="Calibri" w:cs="Calibri"/>
          <w:b/>
          <w:bCs/>
          <w:spacing w:val="-1"/>
          <w:lang w:val="ru-RU"/>
        </w:rPr>
        <w:t>использует</w:t>
      </w:r>
      <w:r w:rsidRPr="00B178C1">
        <w:rPr>
          <w:rFonts w:ascii="Calibri" w:eastAsia="Calibri" w:hAnsi="Calibri" w:cs="Calibri"/>
          <w:b/>
          <w:bCs/>
          <w:spacing w:val="55"/>
          <w:lang w:val="ru-RU"/>
        </w:rPr>
        <w:t xml:space="preserve"> </w:t>
      </w:r>
      <w:r w:rsidRPr="00B178C1">
        <w:rPr>
          <w:rFonts w:ascii="Calibri" w:eastAsia="Calibri" w:hAnsi="Calibri" w:cs="Calibri"/>
          <w:b/>
          <w:bCs/>
          <w:spacing w:val="-1"/>
          <w:lang w:val="ru-RU"/>
        </w:rPr>
        <w:t>следующие</w:t>
      </w:r>
      <w:r w:rsidRPr="00B178C1">
        <w:rPr>
          <w:rFonts w:ascii="Calibri" w:eastAsia="Calibri" w:hAnsi="Calibri" w:cs="Calibri"/>
          <w:b/>
          <w:bCs/>
          <w:spacing w:val="-4"/>
          <w:lang w:val="ru-RU"/>
        </w:rPr>
        <w:t xml:space="preserve"> </w:t>
      </w:r>
      <w:r w:rsidRPr="00B178C1">
        <w:rPr>
          <w:rFonts w:ascii="Calibri" w:eastAsia="Calibri" w:hAnsi="Calibri" w:cs="Calibri"/>
          <w:b/>
          <w:bCs/>
          <w:spacing w:val="-1"/>
          <w:lang w:val="ru-RU"/>
        </w:rPr>
        <w:t>системы Электронного документооборота:</w:t>
      </w:r>
    </w:p>
    <w:p w14:paraId="3075889D" w14:textId="77777777" w:rsidR="000149FC" w:rsidRDefault="000149FC">
      <w:pPr>
        <w:rPr>
          <w:rFonts w:ascii="Calibri" w:eastAsia="Calibri" w:hAnsi="Calibri" w:cs="Calibri"/>
          <w:lang w:val="ru-RU"/>
        </w:rPr>
      </w:pPr>
    </w:p>
    <w:p w14:paraId="2806B997" w14:textId="1DEB1B78" w:rsidR="0052203D" w:rsidRPr="00B178C1" w:rsidRDefault="0052203D" w:rsidP="0052203D">
      <w:pPr>
        <w:pStyle w:val="a3"/>
        <w:spacing w:before="33" w:line="259" w:lineRule="auto"/>
        <w:ind w:left="0"/>
        <w:rPr>
          <w:rFonts w:cs="Calibri"/>
          <w:lang w:val="ru-RU"/>
        </w:rPr>
      </w:pPr>
      <w:r>
        <w:rPr>
          <w:lang w:val="ru-RU"/>
        </w:rPr>
        <w:t>1.</w:t>
      </w:r>
      <w:r w:rsidRPr="00B178C1">
        <w:rPr>
          <w:lang w:val="ru-RU"/>
        </w:rPr>
        <w:t xml:space="preserve"> АО ВТБ</w:t>
      </w:r>
      <w:r w:rsidRPr="00B178C1">
        <w:rPr>
          <w:spacing w:val="-1"/>
          <w:lang w:val="ru-RU"/>
        </w:rPr>
        <w:t xml:space="preserve"> Специализированный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депозитарий</w:t>
      </w:r>
      <w:r w:rsidRPr="00B178C1">
        <w:rPr>
          <w:spacing w:val="1"/>
          <w:lang w:val="ru-RU"/>
        </w:rPr>
        <w:t xml:space="preserve"> </w:t>
      </w:r>
      <w:r w:rsidRPr="00B178C1">
        <w:rPr>
          <w:lang w:val="ru-RU"/>
        </w:rPr>
        <w:t>на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основании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правил.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Ознакомиться</w:t>
      </w:r>
      <w:r w:rsidRPr="00B178C1">
        <w:rPr>
          <w:lang w:val="ru-RU"/>
        </w:rPr>
        <w:t xml:space="preserve"> с</w:t>
      </w:r>
      <w:r w:rsidRPr="00B178C1">
        <w:rPr>
          <w:spacing w:val="-2"/>
          <w:lang w:val="ru-RU"/>
        </w:rPr>
        <w:t xml:space="preserve"> </w:t>
      </w:r>
      <w:r w:rsidRPr="00B178C1">
        <w:rPr>
          <w:spacing w:val="-1"/>
          <w:lang w:val="ru-RU"/>
        </w:rPr>
        <w:t>правилами</w:t>
      </w:r>
      <w:r w:rsidRPr="00B178C1">
        <w:rPr>
          <w:spacing w:val="45"/>
          <w:lang w:val="ru-RU"/>
        </w:rPr>
        <w:t xml:space="preserve"> </w:t>
      </w:r>
      <w:r w:rsidRPr="00B178C1">
        <w:rPr>
          <w:spacing w:val="-1"/>
          <w:lang w:val="ru-RU"/>
        </w:rPr>
        <w:t>электронного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документооборота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можно</w:t>
      </w:r>
      <w:r w:rsidRPr="00B178C1">
        <w:rPr>
          <w:spacing w:val="1"/>
          <w:lang w:val="ru-RU"/>
        </w:rPr>
        <w:t xml:space="preserve"> </w:t>
      </w:r>
      <w:r w:rsidRPr="00B178C1">
        <w:rPr>
          <w:lang w:val="ru-RU"/>
        </w:rPr>
        <w:t>на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Интернет-сайте:</w:t>
      </w:r>
      <w:r w:rsidRPr="00B178C1">
        <w:rPr>
          <w:spacing w:val="1"/>
          <w:lang w:val="ru-RU"/>
        </w:rPr>
        <w:t xml:space="preserve"> </w:t>
      </w:r>
      <w:hyperlink r:id="rId5">
        <w:r>
          <w:rPr>
            <w:color w:val="0462C1"/>
            <w:spacing w:val="-1"/>
            <w:u w:val="single" w:color="0462C1"/>
          </w:rPr>
          <w:t>https</w:t>
        </w:r>
        <w:r w:rsidRPr="00B178C1">
          <w:rPr>
            <w:color w:val="0462C1"/>
            <w:spacing w:val="-1"/>
            <w:u w:val="single" w:color="0462C1"/>
            <w:lang w:val="ru-RU"/>
          </w:rPr>
          <w:t>://</w:t>
        </w:r>
        <w:proofErr w:type="spellStart"/>
        <w:r>
          <w:rPr>
            <w:color w:val="0462C1"/>
            <w:spacing w:val="-1"/>
            <w:u w:val="single" w:color="0462C1"/>
          </w:rPr>
          <w:t>vtbsd</w:t>
        </w:r>
        <w:proofErr w:type="spellEnd"/>
        <w:r w:rsidRPr="00B178C1">
          <w:rPr>
            <w:color w:val="0462C1"/>
            <w:spacing w:val="-1"/>
            <w:u w:val="single" w:color="0462C1"/>
            <w:lang w:val="ru-RU"/>
          </w:rPr>
          <w:t>.</w:t>
        </w:r>
        <w:proofErr w:type="spellStart"/>
        <w:r>
          <w:rPr>
            <w:color w:val="0462C1"/>
            <w:spacing w:val="-1"/>
            <w:u w:val="single" w:color="0462C1"/>
          </w:rPr>
          <w:t>ru</w:t>
        </w:r>
        <w:proofErr w:type="spellEnd"/>
        <w:r w:rsidRPr="00B178C1">
          <w:rPr>
            <w:color w:val="0462C1"/>
            <w:spacing w:val="-1"/>
            <w:u w:val="single" w:color="0462C1"/>
            <w:lang w:val="ru-RU"/>
          </w:rPr>
          <w:t>/</w:t>
        </w:r>
      </w:hyperlink>
      <w:r w:rsidRPr="00B178C1">
        <w:rPr>
          <w:spacing w:val="-1"/>
          <w:lang w:val="ru-RU"/>
        </w:rPr>
        <w:t>;</w:t>
      </w:r>
    </w:p>
    <w:p w14:paraId="250AA56E" w14:textId="77777777" w:rsidR="0052203D" w:rsidRPr="00B178C1" w:rsidRDefault="0052203D" w:rsidP="0052203D">
      <w:pPr>
        <w:spacing w:before="8"/>
        <w:rPr>
          <w:rFonts w:ascii="Calibri" w:eastAsia="Calibri" w:hAnsi="Calibri" w:cs="Calibri"/>
          <w:sz w:val="8"/>
          <w:szCs w:val="8"/>
          <w:lang w:val="ru-RU"/>
        </w:rPr>
      </w:pPr>
    </w:p>
    <w:p w14:paraId="31DF7625" w14:textId="77777777" w:rsidR="0052203D" w:rsidRPr="0052203D" w:rsidRDefault="0052203D">
      <w:pPr>
        <w:rPr>
          <w:rFonts w:ascii="Calibri" w:eastAsia="Calibri" w:hAnsi="Calibri" w:cs="Calibri"/>
          <w:lang w:val="ru-RU"/>
        </w:rPr>
        <w:sectPr w:rsidR="0052203D" w:rsidRPr="0052203D">
          <w:type w:val="continuous"/>
          <w:pgSz w:w="11910" w:h="16840"/>
          <w:pgMar w:top="1080" w:right="740" w:bottom="280" w:left="1600" w:header="720" w:footer="720" w:gutter="0"/>
          <w:cols w:space="720"/>
        </w:sectPr>
      </w:pPr>
    </w:p>
    <w:p w14:paraId="27CE6DF3" w14:textId="77777777" w:rsidR="000149FC" w:rsidRPr="00B178C1" w:rsidRDefault="000149FC">
      <w:pPr>
        <w:rPr>
          <w:rFonts w:ascii="Calibri" w:eastAsia="Calibri" w:hAnsi="Calibri" w:cs="Calibri"/>
          <w:lang w:val="ru-RU"/>
        </w:rPr>
        <w:sectPr w:rsidR="000149FC" w:rsidRPr="00B178C1">
          <w:pgSz w:w="11910" w:h="16840"/>
          <w:pgMar w:top="1080" w:right="820" w:bottom="280" w:left="1600" w:header="720" w:footer="720" w:gutter="0"/>
          <w:cols w:space="720"/>
        </w:sectPr>
      </w:pPr>
    </w:p>
    <w:p w14:paraId="355CDC85" w14:textId="77777777" w:rsidR="000149FC" w:rsidRPr="00B178C1" w:rsidRDefault="00B178C1" w:rsidP="0052203D">
      <w:pPr>
        <w:pStyle w:val="a3"/>
        <w:spacing w:before="33" w:line="259" w:lineRule="auto"/>
        <w:ind w:left="0"/>
        <w:rPr>
          <w:rFonts w:cs="Calibri"/>
          <w:lang w:val="ru-RU"/>
        </w:rPr>
      </w:pPr>
      <w:r w:rsidRPr="00B178C1">
        <w:rPr>
          <w:lang w:val="ru-RU"/>
        </w:rPr>
        <w:lastRenderedPageBreak/>
        <w:t>Е. АО ВТБ</w:t>
      </w:r>
      <w:r w:rsidRPr="00B178C1">
        <w:rPr>
          <w:spacing w:val="-1"/>
          <w:lang w:val="ru-RU"/>
        </w:rPr>
        <w:t xml:space="preserve"> Специализированный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депозитарий</w:t>
      </w:r>
      <w:r w:rsidRPr="00B178C1">
        <w:rPr>
          <w:spacing w:val="1"/>
          <w:lang w:val="ru-RU"/>
        </w:rPr>
        <w:t xml:space="preserve"> </w:t>
      </w:r>
      <w:r w:rsidRPr="00B178C1">
        <w:rPr>
          <w:lang w:val="ru-RU"/>
        </w:rPr>
        <w:t>на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основании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правил.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Ознакомиться</w:t>
      </w:r>
      <w:r w:rsidRPr="00B178C1">
        <w:rPr>
          <w:lang w:val="ru-RU"/>
        </w:rPr>
        <w:t xml:space="preserve"> с</w:t>
      </w:r>
      <w:r w:rsidRPr="00B178C1">
        <w:rPr>
          <w:spacing w:val="-2"/>
          <w:lang w:val="ru-RU"/>
        </w:rPr>
        <w:t xml:space="preserve"> </w:t>
      </w:r>
      <w:r w:rsidRPr="00B178C1">
        <w:rPr>
          <w:spacing w:val="-1"/>
          <w:lang w:val="ru-RU"/>
        </w:rPr>
        <w:t>правилами</w:t>
      </w:r>
      <w:r w:rsidRPr="00B178C1">
        <w:rPr>
          <w:spacing w:val="45"/>
          <w:lang w:val="ru-RU"/>
        </w:rPr>
        <w:t xml:space="preserve"> </w:t>
      </w:r>
      <w:r w:rsidRPr="00B178C1">
        <w:rPr>
          <w:spacing w:val="-1"/>
          <w:lang w:val="ru-RU"/>
        </w:rPr>
        <w:t>электронного</w:t>
      </w:r>
      <w:r w:rsidRPr="00B178C1">
        <w:rPr>
          <w:spacing w:val="1"/>
          <w:lang w:val="ru-RU"/>
        </w:rPr>
        <w:t xml:space="preserve"> </w:t>
      </w:r>
      <w:r w:rsidRPr="00B178C1">
        <w:rPr>
          <w:spacing w:val="-1"/>
          <w:lang w:val="ru-RU"/>
        </w:rPr>
        <w:t>документооборота</w:t>
      </w:r>
      <w:r w:rsidRPr="00B178C1">
        <w:rPr>
          <w:lang w:val="ru-RU"/>
        </w:rPr>
        <w:t xml:space="preserve"> </w:t>
      </w:r>
      <w:r w:rsidRPr="00B178C1">
        <w:rPr>
          <w:spacing w:val="-1"/>
          <w:lang w:val="ru-RU"/>
        </w:rPr>
        <w:t>можно</w:t>
      </w:r>
      <w:r w:rsidRPr="00B178C1">
        <w:rPr>
          <w:spacing w:val="1"/>
          <w:lang w:val="ru-RU"/>
        </w:rPr>
        <w:t xml:space="preserve"> </w:t>
      </w:r>
      <w:r w:rsidRPr="00B178C1">
        <w:rPr>
          <w:lang w:val="ru-RU"/>
        </w:rPr>
        <w:t>на</w:t>
      </w:r>
      <w:r w:rsidRPr="00B178C1">
        <w:rPr>
          <w:spacing w:val="-3"/>
          <w:lang w:val="ru-RU"/>
        </w:rPr>
        <w:t xml:space="preserve"> </w:t>
      </w:r>
      <w:r w:rsidRPr="00B178C1">
        <w:rPr>
          <w:spacing w:val="-1"/>
          <w:lang w:val="ru-RU"/>
        </w:rPr>
        <w:t>Интернет-сайте:</w:t>
      </w:r>
      <w:r w:rsidRPr="00B178C1">
        <w:rPr>
          <w:spacing w:val="1"/>
          <w:lang w:val="ru-RU"/>
        </w:rPr>
        <w:t xml:space="preserve"> </w:t>
      </w:r>
      <w:hyperlink r:id="rId6">
        <w:r>
          <w:rPr>
            <w:color w:val="0462C1"/>
            <w:spacing w:val="-1"/>
            <w:u w:val="single" w:color="0462C1"/>
          </w:rPr>
          <w:t>https</w:t>
        </w:r>
        <w:r w:rsidRPr="00B178C1">
          <w:rPr>
            <w:color w:val="0462C1"/>
            <w:spacing w:val="-1"/>
            <w:u w:val="single" w:color="0462C1"/>
            <w:lang w:val="ru-RU"/>
          </w:rPr>
          <w:t>://</w:t>
        </w:r>
        <w:proofErr w:type="spellStart"/>
        <w:r>
          <w:rPr>
            <w:color w:val="0462C1"/>
            <w:spacing w:val="-1"/>
            <w:u w:val="single" w:color="0462C1"/>
          </w:rPr>
          <w:t>vtbsd</w:t>
        </w:r>
        <w:proofErr w:type="spellEnd"/>
        <w:r w:rsidRPr="00B178C1">
          <w:rPr>
            <w:color w:val="0462C1"/>
            <w:spacing w:val="-1"/>
            <w:u w:val="single" w:color="0462C1"/>
            <w:lang w:val="ru-RU"/>
          </w:rPr>
          <w:t>.</w:t>
        </w:r>
        <w:proofErr w:type="spellStart"/>
        <w:r>
          <w:rPr>
            <w:color w:val="0462C1"/>
            <w:spacing w:val="-1"/>
            <w:u w:val="single" w:color="0462C1"/>
          </w:rPr>
          <w:t>ru</w:t>
        </w:r>
        <w:proofErr w:type="spellEnd"/>
        <w:r w:rsidRPr="00B178C1">
          <w:rPr>
            <w:color w:val="0462C1"/>
            <w:spacing w:val="-1"/>
            <w:u w:val="single" w:color="0462C1"/>
            <w:lang w:val="ru-RU"/>
          </w:rPr>
          <w:t>/</w:t>
        </w:r>
      </w:hyperlink>
      <w:r w:rsidRPr="00B178C1">
        <w:rPr>
          <w:spacing w:val="-1"/>
          <w:lang w:val="ru-RU"/>
        </w:rPr>
        <w:t>;</w:t>
      </w:r>
    </w:p>
    <w:p w14:paraId="46849A9B" w14:textId="77777777" w:rsidR="000149FC" w:rsidRPr="00B178C1" w:rsidRDefault="000149FC">
      <w:pPr>
        <w:spacing w:before="8"/>
        <w:rPr>
          <w:rFonts w:ascii="Calibri" w:eastAsia="Calibri" w:hAnsi="Calibri" w:cs="Calibri"/>
          <w:sz w:val="8"/>
          <w:szCs w:val="8"/>
          <w:lang w:val="ru-RU"/>
        </w:rPr>
      </w:pPr>
    </w:p>
    <w:sectPr w:rsidR="000149FC" w:rsidRPr="00B178C1">
      <w:pgSz w:w="11910" w:h="16840"/>
      <w:pgMar w:top="1080" w:right="11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B43"/>
    <w:multiLevelType w:val="hybridMultilevel"/>
    <w:tmpl w:val="01E4C0F4"/>
    <w:lvl w:ilvl="0" w:tplc="FC8C303A">
      <w:start w:val="14"/>
      <w:numFmt w:val="decimal"/>
      <w:lvlText w:val="%1)"/>
      <w:lvlJc w:val="left"/>
      <w:pPr>
        <w:ind w:left="102" w:hanging="341"/>
        <w:jc w:val="left"/>
      </w:pPr>
      <w:rPr>
        <w:rFonts w:ascii="Calibri" w:eastAsia="Calibri" w:hAnsi="Calibri" w:hint="default"/>
        <w:sz w:val="22"/>
        <w:szCs w:val="22"/>
      </w:rPr>
    </w:lvl>
    <w:lvl w:ilvl="1" w:tplc="9CB2CF2A">
      <w:start w:val="1"/>
      <w:numFmt w:val="bullet"/>
      <w:lvlText w:val="•"/>
      <w:lvlJc w:val="left"/>
      <w:pPr>
        <w:ind w:left="1040" w:hanging="341"/>
      </w:pPr>
      <w:rPr>
        <w:rFonts w:hint="default"/>
      </w:rPr>
    </w:lvl>
    <w:lvl w:ilvl="2" w:tplc="29E0BCF4">
      <w:start w:val="1"/>
      <w:numFmt w:val="bullet"/>
      <w:lvlText w:val="•"/>
      <w:lvlJc w:val="left"/>
      <w:pPr>
        <w:ind w:left="1978" w:hanging="341"/>
      </w:pPr>
      <w:rPr>
        <w:rFonts w:hint="default"/>
      </w:rPr>
    </w:lvl>
    <w:lvl w:ilvl="3" w:tplc="8B3ABEA6">
      <w:start w:val="1"/>
      <w:numFmt w:val="bullet"/>
      <w:lvlText w:val="•"/>
      <w:lvlJc w:val="left"/>
      <w:pPr>
        <w:ind w:left="2917" w:hanging="341"/>
      </w:pPr>
      <w:rPr>
        <w:rFonts w:hint="default"/>
      </w:rPr>
    </w:lvl>
    <w:lvl w:ilvl="4" w:tplc="5B867A14">
      <w:start w:val="1"/>
      <w:numFmt w:val="bullet"/>
      <w:lvlText w:val="•"/>
      <w:lvlJc w:val="left"/>
      <w:pPr>
        <w:ind w:left="3855" w:hanging="341"/>
      </w:pPr>
      <w:rPr>
        <w:rFonts w:hint="default"/>
      </w:rPr>
    </w:lvl>
    <w:lvl w:ilvl="5" w:tplc="C6482C3C">
      <w:start w:val="1"/>
      <w:numFmt w:val="bullet"/>
      <w:lvlText w:val="•"/>
      <w:lvlJc w:val="left"/>
      <w:pPr>
        <w:ind w:left="4794" w:hanging="341"/>
      </w:pPr>
      <w:rPr>
        <w:rFonts w:hint="default"/>
      </w:rPr>
    </w:lvl>
    <w:lvl w:ilvl="6" w:tplc="6B9CA1C8">
      <w:start w:val="1"/>
      <w:numFmt w:val="bullet"/>
      <w:lvlText w:val="•"/>
      <w:lvlJc w:val="left"/>
      <w:pPr>
        <w:ind w:left="5732" w:hanging="341"/>
      </w:pPr>
      <w:rPr>
        <w:rFonts w:hint="default"/>
      </w:rPr>
    </w:lvl>
    <w:lvl w:ilvl="7" w:tplc="25C8D650">
      <w:start w:val="1"/>
      <w:numFmt w:val="bullet"/>
      <w:lvlText w:val="•"/>
      <w:lvlJc w:val="left"/>
      <w:pPr>
        <w:ind w:left="6671" w:hanging="341"/>
      </w:pPr>
      <w:rPr>
        <w:rFonts w:hint="default"/>
      </w:rPr>
    </w:lvl>
    <w:lvl w:ilvl="8" w:tplc="6934459C">
      <w:start w:val="1"/>
      <w:numFmt w:val="bullet"/>
      <w:lvlText w:val="•"/>
      <w:lvlJc w:val="left"/>
      <w:pPr>
        <w:ind w:left="7609" w:hanging="341"/>
      </w:pPr>
      <w:rPr>
        <w:rFonts w:hint="default"/>
      </w:rPr>
    </w:lvl>
  </w:abstractNum>
  <w:abstractNum w:abstractNumId="1" w15:restartNumberingAfterBreak="0">
    <w:nsid w:val="03377508"/>
    <w:multiLevelType w:val="hybridMultilevel"/>
    <w:tmpl w:val="18EEEAC2"/>
    <w:lvl w:ilvl="0" w:tplc="BA5290A6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C4663772">
      <w:start w:val="1"/>
      <w:numFmt w:val="bullet"/>
      <w:lvlText w:val="•"/>
      <w:lvlJc w:val="left"/>
      <w:pPr>
        <w:ind w:left="1048" w:hanging="231"/>
      </w:pPr>
      <w:rPr>
        <w:rFonts w:hint="default"/>
      </w:rPr>
    </w:lvl>
    <w:lvl w:ilvl="2" w:tplc="5E78A7E2">
      <w:start w:val="1"/>
      <w:numFmt w:val="bullet"/>
      <w:lvlText w:val="•"/>
      <w:lvlJc w:val="left"/>
      <w:pPr>
        <w:ind w:left="1994" w:hanging="231"/>
      </w:pPr>
      <w:rPr>
        <w:rFonts w:hint="default"/>
      </w:rPr>
    </w:lvl>
    <w:lvl w:ilvl="3" w:tplc="FB36FB10">
      <w:start w:val="1"/>
      <w:numFmt w:val="bullet"/>
      <w:lvlText w:val="•"/>
      <w:lvlJc w:val="left"/>
      <w:pPr>
        <w:ind w:left="2941" w:hanging="231"/>
      </w:pPr>
      <w:rPr>
        <w:rFonts w:hint="default"/>
      </w:rPr>
    </w:lvl>
    <w:lvl w:ilvl="4" w:tplc="19984F74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5" w:tplc="971EC8F8">
      <w:start w:val="1"/>
      <w:numFmt w:val="bullet"/>
      <w:lvlText w:val="•"/>
      <w:lvlJc w:val="left"/>
      <w:pPr>
        <w:ind w:left="4834" w:hanging="231"/>
      </w:pPr>
      <w:rPr>
        <w:rFonts w:hint="default"/>
      </w:rPr>
    </w:lvl>
    <w:lvl w:ilvl="6" w:tplc="489E41A4">
      <w:start w:val="1"/>
      <w:numFmt w:val="bullet"/>
      <w:lvlText w:val="•"/>
      <w:lvlJc w:val="left"/>
      <w:pPr>
        <w:ind w:left="5780" w:hanging="231"/>
      </w:pPr>
      <w:rPr>
        <w:rFonts w:hint="default"/>
      </w:rPr>
    </w:lvl>
    <w:lvl w:ilvl="7" w:tplc="B0843EF0">
      <w:start w:val="1"/>
      <w:numFmt w:val="bullet"/>
      <w:lvlText w:val="•"/>
      <w:lvlJc w:val="left"/>
      <w:pPr>
        <w:ind w:left="6727" w:hanging="231"/>
      </w:pPr>
      <w:rPr>
        <w:rFonts w:hint="default"/>
      </w:rPr>
    </w:lvl>
    <w:lvl w:ilvl="8" w:tplc="C946FCB4">
      <w:start w:val="1"/>
      <w:numFmt w:val="bullet"/>
      <w:lvlText w:val="•"/>
      <w:lvlJc w:val="left"/>
      <w:pPr>
        <w:ind w:left="7673" w:hanging="231"/>
      </w:pPr>
      <w:rPr>
        <w:rFonts w:hint="default"/>
      </w:rPr>
    </w:lvl>
  </w:abstractNum>
  <w:num w:numId="1" w16cid:durableId="1191333189">
    <w:abstractNumId w:val="0"/>
  </w:num>
  <w:num w:numId="2" w16cid:durableId="114762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FC"/>
    <w:rsid w:val="000149FC"/>
    <w:rsid w:val="00316486"/>
    <w:rsid w:val="0052203D"/>
    <w:rsid w:val="00B178C1"/>
    <w:rsid w:val="00D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DECF"/>
  <w15:docId w15:val="{44702EBE-8C1A-466C-98E2-A5FD9D5C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3"/>
      <w:ind w:left="102" w:hanging="1"/>
      <w:outlineLvl w:val="0"/>
    </w:pPr>
    <w:rPr>
      <w:rFonts w:ascii="Calibri" w:eastAsia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  <w:ind w:left="102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tbsd.ru/" TargetMode="External"/><Relationship Id="rId5" Type="http://schemas.openxmlformats.org/officeDocument/2006/relationships/hyperlink" Target="https://vtbs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Почивалова Галина Вячеславовна</dc:creator>
  <cp:lastModifiedBy>Сорокина Татьяна Александровна</cp:lastModifiedBy>
  <cp:revision>2</cp:revision>
  <dcterms:created xsi:type="dcterms:W3CDTF">2026-05-14T14:39:00Z</dcterms:created>
  <dcterms:modified xsi:type="dcterms:W3CDTF">2026-05-14T14:39:00Z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2026-05-13T00:00:00Z</vt:filetime>
  </property>
</Properties>
</file>